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7049" w:rsidRPr="00243447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b/>
        </w:rPr>
      </w:pPr>
      <w:r w:rsidRPr="00243447">
        <w:rPr>
          <w:rFonts w:asciiTheme="minorHAnsi" w:hAnsiTheme="minorHAnsi" w:cstheme="minorHAnsi"/>
          <w:b/>
        </w:rPr>
        <w:t>Stadio del nuoto di Cuneo (Italy)</w:t>
      </w: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Struttura d’eccellenza per il nuoto a livello nazionale, lo Stadio del nuoto di Cuneo coniuga funzionalità a basso impatto ambientale, accessibilità ed attenzione per il contesto paesaggistico, comfort ed efficienza energetica. </w:t>
      </w: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Progettato dagli architetti Alessandra e Matteo Raso dello studio Cliostraat e costruito ex novo, ospita la nuova piscina coperta ad 8 corsie, spogliatoi e relativi servizi, la tribuna per il pubblico con una capienza di 600 persone e una caffetteria che grazie ad una vetrata a tutta altezza, si affaccia direttamente sul piano vasca. </w:t>
      </w: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243447">
        <w:rPr>
          <w:rFonts w:asciiTheme="minorHAnsi" w:hAnsiTheme="minorHAnsi" w:cstheme="minorHAnsi"/>
          <w:noProof/>
        </w:rPr>
        <w:drawing>
          <wp:inline distT="0" distB="0" distL="0" distR="0" wp14:anchorId="003D457E" wp14:editId="499F9085">
            <wp:extent cx="6120130" cy="4080087"/>
            <wp:effectExtent l="0" t="0" r="0" b="0"/>
            <wp:docPr id="1" name="Immagine 1" descr="H:\BLOG 2019\STILI E TENDENZE\Piscine private e pubbliche\Piscine pubbliche\Per Laura\Immagini\Stadio del nuoto di Cuneo (Italy)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STILI E TENDENZE\Piscine private e pubbliche\Piscine pubbliche\Per Laura\Immagini\Stadio del nuoto di Cuneo (Italy)_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49" w:rsidRPr="009024FA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9024FA">
        <w:rPr>
          <w:rFonts w:asciiTheme="minorHAnsi" w:hAnsiTheme="minorHAnsi" w:cstheme="minorHAnsi"/>
          <w:i/>
          <w:iCs/>
        </w:rPr>
        <w:t>Stadio del nuoto di Cuneo – Landscape Tundra e Ocean</w:t>
      </w: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</w:p>
    <w:p w:rsidR="00D87049" w:rsidRDefault="00D87049" w:rsidP="00D87049">
      <w:pPr>
        <w:pStyle w:val="NormaleWeb"/>
        <w:shd w:val="clear" w:color="auto" w:fill="FFFFFF"/>
        <w:spacing w:before="0" w:beforeAutospacing="0" w:after="150" w:afterAutospacing="0" w:line="420" w:lineRule="atLeast"/>
        <w:jc w:val="both"/>
        <w:textAlignment w:val="baseline"/>
        <w:rPr>
          <w:rFonts w:asciiTheme="minorHAnsi" w:hAnsiTheme="minorHAnsi" w:cstheme="minorHAnsi"/>
        </w:rPr>
      </w:pPr>
    </w:p>
    <w:p w:rsidR="00D87049" w:rsidRPr="00C4118E" w:rsidRDefault="00D87049" w:rsidP="00D87049">
      <w:pPr>
        <w:pStyle w:val="NormaleWeb"/>
        <w:shd w:val="clear" w:color="auto" w:fill="FFFFFF"/>
        <w:spacing w:before="0" w:beforeAutospacing="0" w:after="150" w:afterAutospacing="0" w:line="276" w:lineRule="auto"/>
        <w:jc w:val="both"/>
        <w:textAlignment w:val="baseline"/>
        <w:rPr>
          <w:rFonts w:asciiTheme="minorHAnsi" w:hAnsiTheme="minorHAnsi" w:cstheme="minorHAnsi"/>
          <w:b/>
          <w:bCs/>
        </w:rPr>
      </w:pPr>
      <w:r w:rsidRPr="00C4118E">
        <w:rPr>
          <w:rFonts w:asciiTheme="minorHAnsi" w:hAnsiTheme="minorHAnsi" w:cstheme="minorHAnsi"/>
          <w:b/>
          <w:bCs/>
        </w:rPr>
        <w:t xml:space="preserve">Pavimenti e rivestimenti in gres porcellanato </w:t>
      </w:r>
    </w:p>
    <w:p w:rsidR="00D87049" w:rsidRDefault="00D87049" w:rsidP="00D87049">
      <w:pPr>
        <w:pStyle w:val="NormaleWeb"/>
        <w:shd w:val="clear" w:color="auto" w:fill="FFFFFF"/>
        <w:spacing w:before="0" w:beforeAutospacing="0" w:after="15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Il concept alla base del progetto è la realizzazione di ambienti chiari, luminosi, di facile orientamento per una piacevole fruizione degli spazi in sicurezza. L’ampia gamma di </w:t>
      </w:r>
      <w:r w:rsidRPr="000222C4">
        <w:rPr>
          <w:rFonts w:asciiTheme="minorHAnsi" w:hAnsiTheme="minorHAnsi" w:cstheme="minorHAnsi"/>
          <w:b/>
          <w:bCs/>
        </w:rPr>
        <w:t>piastrelle in gres porcellanato di Casalgrande Padana</w:t>
      </w:r>
      <w:r>
        <w:rPr>
          <w:rFonts w:asciiTheme="minorHAnsi" w:hAnsiTheme="minorHAnsi" w:cstheme="minorHAnsi"/>
        </w:rPr>
        <w:t xml:space="preserve"> ha permesso di soddisfare le molteplici esigenze di rivestimento e pavimento presenti nell’impianto natatorio attraverso l’utilizzo di finiture lisce, strutturate e antiscivolo a seconda dell’esigenza funzionale. </w:t>
      </w:r>
    </w:p>
    <w:p w:rsidR="00D87049" w:rsidRDefault="00D87049" w:rsidP="00D87049">
      <w:pPr>
        <w:pStyle w:val="NormaleWeb"/>
        <w:shd w:val="clear" w:color="auto" w:fill="FFFFFF"/>
        <w:spacing w:before="0" w:beforeAutospacing="0" w:after="15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Per l’intero piano delle vasche, complete di pezzi speciali per le canalette di raccolta delle acque superficiali e per la sguscia di raccordo tra le superfici orizzontali e verticali, è stato utilizzato il colore </w:t>
      </w:r>
      <w:r w:rsidRPr="0094369B">
        <w:rPr>
          <w:rFonts w:asciiTheme="minorHAnsi" w:hAnsiTheme="minorHAnsi" w:cstheme="minorHAnsi"/>
          <w:b/>
          <w:bCs/>
        </w:rPr>
        <w:lastRenderedPageBreak/>
        <w:t>Talco</w:t>
      </w:r>
      <w:r>
        <w:rPr>
          <w:rFonts w:asciiTheme="minorHAnsi" w:hAnsiTheme="minorHAnsi" w:cstheme="minorHAnsi"/>
        </w:rPr>
        <w:t xml:space="preserve"> nella superficie Pinhead della collezione </w:t>
      </w:r>
      <w:r w:rsidRPr="0094369B">
        <w:rPr>
          <w:rFonts w:asciiTheme="minorHAnsi" w:hAnsiTheme="minorHAnsi" w:cstheme="minorHAnsi"/>
          <w:b/>
          <w:bCs/>
        </w:rPr>
        <w:t>Elementi</w:t>
      </w:r>
      <w:r>
        <w:rPr>
          <w:rFonts w:asciiTheme="minorHAnsi" w:hAnsiTheme="minorHAnsi" w:cstheme="minorHAnsi"/>
        </w:rPr>
        <w:t xml:space="preserve">, mentre per il rivestimento dell’interno della vasca è stato scelto il colore </w:t>
      </w:r>
      <w:r w:rsidRPr="0094369B">
        <w:rPr>
          <w:rFonts w:asciiTheme="minorHAnsi" w:hAnsiTheme="minorHAnsi" w:cstheme="minorHAnsi"/>
          <w:b/>
          <w:bCs/>
        </w:rPr>
        <w:t>Tundra</w:t>
      </w:r>
      <w:r>
        <w:rPr>
          <w:rFonts w:asciiTheme="minorHAnsi" w:hAnsiTheme="minorHAnsi" w:cstheme="minorHAnsi"/>
        </w:rPr>
        <w:t xml:space="preserve"> della collezione </w:t>
      </w:r>
      <w:r w:rsidRPr="0094369B">
        <w:rPr>
          <w:rFonts w:asciiTheme="minorHAnsi" w:hAnsiTheme="minorHAnsi" w:cstheme="minorHAnsi"/>
          <w:b/>
          <w:bCs/>
        </w:rPr>
        <w:t>Landscape</w:t>
      </w:r>
      <w:r>
        <w:rPr>
          <w:rFonts w:asciiTheme="minorHAnsi" w:hAnsiTheme="minorHAnsi" w:cstheme="minorHAnsi"/>
        </w:rPr>
        <w:t xml:space="preserve"> nella superficie Satin a cui è stato abbinato, per la risoluzione delle linee segna-corsia, di arrivo-virata e del bordo dello sfioro, il colore </w:t>
      </w:r>
      <w:r w:rsidRPr="0094369B">
        <w:rPr>
          <w:rFonts w:asciiTheme="minorHAnsi" w:hAnsiTheme="minorHAnsi" w:cstheme="minorHAnsi"/>
          <w:b/>
          <w:bCs/>
        </w:rPr>
        <w:t>Ocean</w:t>
      </w:r>
      <w:r>
        <w:rPr>
          <w:rFonts w:asciiTheme="minorHAnsi" w:hAnsiTheme="minorHAnsi" w:cstheme="minorHAnsi"/>
        </w:rPr>
        <w:t xml:space="preserve">. Gli ambienti degli spogliatoi, invece, sono stati risolti con l’adozione di una </w:t>
      </w:r>
      <w:r w:rsidRPr="00647D08">
        <w:rPr>
          <w:rFonts w:asciiTheme="minorHAnsi" w:hAnsiTheme="minorHAnsi" w:cstheme="minorHAnsi"/>
          <w:b/>
          <w:bCs/>
        </w:rPr>
        <w:t>pavimentazione</w:t>
      </w:r>
      <w:r>
        <w:rPr>
          <w:rFonts w:asciiTheme="minorHAnsi" w:hAnsiTheme="minorHAnsi" w:cstheme="minorHAnsi"/>
        </w:rPr>
        <w:t xml:space="preserve"> di colore </w:t>
      </w:r>
      <w:r w:rsidRPr="00647D08">
        <w:rPr>
          <w:rFonts w:asciiTheme="minorHAnsi" w:hAnsiTheme="minorHAnsi" w:cstheme="minorHAnsi"/>
          <w:b/>
          <w:bCs/>
        </w:rPr>
        <w:t>Grigio Cenere</w:t>
      </w:r>
      <w:r>
        <w:rPr>
          <w:rFonts w:asciiTheme="minorHAnsi" w:hAnsiTheme="minorHAnsi" w:cstheme="minorHAnsi"/>
        </w:rPr>
        <w:t xml:space="preserve"> della collezione </w:t>
      </w:r>
      <w:r w:rsidRPr="00647D08">
        <w:rPr>
          <w:rFonts w:asciiTheme="minorHAnsi" w:hAnsiTheme="minorHAnsi" w:cstheme="minorHAnsi"/>
          <w:b/>
          <w:bCs/>
        </w:rPr>
        <w:t xml:space="preserve">Technic </w:t>
      </w:r>
      <w:r>
        <w:rPr>
          <w:rFonts w:asciiTheme="minorHAnsi" w:hAnsiTheme="minorHAnsi" w:cstheme="minorHAnsi"/>
        </w:rPr>
        <w:t>in superficie antiscivolo, mentre le superfici verticali presentano un decoro che riprende il concept delle decorazioni colorate presenti nell’impianto.</w:t>
      </w: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b/>
          <w:bCs/>
        </w:rPr>
      </w:pP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b/>
          <w:bCs/>
        </w:rPr>
      </w:pPr>
      <w:r w:rsidRPr="00C4118E">
        <w:rPr>
          <w:rFonts w:asciiTheme="minorHAnsi" w:hAnsiTheme="minorHAnsi" w:cstheme="minorHAnsi"/>
          <w:b/>
          <w:bCs/>
        </w:rPr>
        <w:t>Format Decorativo</w:t>
      </w:r>
    </w:p>
    <w:p w:rsidR="00D87049" w:rsidRPr="00C4118E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</w:p>
    <w:p w:rsidR="00D87049" w:rsidRPr="001966BE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966BE">
        <w:rPr>
          <w:rFonts w:asciiTheme="minorHAnsi" w:hAnsiTheme="minorHAnsi" w:cstheme="minorHAnsi"/>
        </w:rPr>
        <w:t>Il Progetto delle decorazioni dello Stadio del Nuoto nasce dall'esigenza di caratterizzare gli spazi</w:t>
      </w:r>
      <w:r>
        <w:rPr>
          <w:rFonts w:asciiTheme="minorHAnsi" w:hAnsiTheme="minorHAnsi" w:cstheme="minorHAnsi"/>
        </w:rPr>
        <w:t>,</w:t>
      </w:r>
      <w:r w:rsidRPr="001966BE">
        <w:rPr>
          <w:rFonts w:asciiTheme="minorHAnsi" w:hAnsiTheme="minorHAnsi" w:cstheme="minorHAnsi"/>
        </w:rPr>
        <w:t xml:space="preserve"> renderli riconoscibili</w:t>
      </w:r>
      <w:r>
        <w:rPr>
          <w:rFonts w:asciiTheme="minorHAnsi" w:hAnsiTheme="minorHAnsi" w:cstheme="minorHAnsi"/>
        </w:rPr>
        <w:t xml:space="preserve">, </w:t>
      </w:r>
      <w:r w:rsidRPr="001966BE">
        <w:rPr>
          <w:rFonts w:asciiTheme="minorHAnsi" w:hAnsiTheme="minorHAnsi" w:cstheme="minorHAnsi"/>
        </w:rPr>
        <w:t>di movimentare l’ambient</w:t>
      </w:r>
      <w:r>
        <w:rPr>
          <w:rFonts w:asciiTheme="minorHAnsi" w:hAnsiTheme="minorHAnsi" w:cstheme="minorHAnsi"/>
        </w:rPr>
        <w:t xml:space="preserve">e e </w:t>
      </w:r>
      <w:r w:rsidRPr="001966BE">
        <w:rPr>
          <w:rFonts w:asciiTheme="minorHAnsi" w:hAnsiTheme="minorHAnsi" w:cstheme="minorHAnsi"/>
        </w:rPr>
        <w:t>connotare i punti cerniera per facilitare l'orientamento. La realizzazione deriva da un unico semplice format che evoca ricerche cromatiche e accostamenti primari mutuati dall'arte contemporanea: Sol Lewitt, Daniel Buren, Carla Accardi.</w:t>
      </w:r>
    </w:p>
    <w:p w:rsidR="00D87049" w:rsidRPr="001966BE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>
        <w:t xml:space="preserve"> </w:t>
      </w:r>
    </w:p>
    <w:p w:rsidR="00D87049" w:rsidRPr="001966BE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966BE">
        <w:rPr>
          <w:rFonts w:asciiTheme="minorHAnsi" w:hAnsiTheme="minorHAnsi" w:cstheme="minorHAnsi"/>
        </w:rPr>
        <w:t>Il format concettuale è stato declinato nelle molteplici situazioni spaziali caratterizzandole in modo assolutamente unico con spettacolari rese cromatiche e</w:t>
      </w:r>
      <w:r>
        <w:rPr>
          <w:rFonts w:asciiTheme="minorHAnsi" w:hAnsiTheme="minorHAnsi" w:cstheme="minorHAnsi"/>
        </w:rPr>
        <w:t>d</w:t>
      </w:r>
      <w:r w:rsidRPr="001966BE">
        <w:rPr>
          <w:rFonts w:asciiTheme="minorHAnsi" w:hAnsiTheme="minorHAnsi" w:cstheme="minorHAnsi"/>
        </w:rPr>
        <w:t xml:space="preserve"> effetti scenici utilizzando quattro diversi accostamenti di colore scelti all’interno della collezione </w:t>
      </w:r>
      <w:r w:rsidRPr="00670BA5">
        <w:rPr>
          <w:rFonts w:asciiTheme="minorHAnsi" w:hAnsiTheme="minorHAnsi" w:cstheme="minorHAnsi"/>
          <w:b/>
          <w:bCs/>
        </w:rPr>
        <w:t>Landscape</w:t>
      </w:r>
      <w:r w:rsidRPr="001966BE">
        <w:rPr>
          <w:rFonts w:asciiTheme="minorHAnsi" w:hAnsiTheme="minorHAnsi" w:cstheme="minorHAnsi"/>
        </w:rPr>
        <w:t xml:space="preserve">: bianco – giallo (Tundra – Dune) bianco - rosso </w:t>
      </w:r>
      <w:r>
        <w:rPr>
          <w:rFonts w:asciiTheme="minorHAnsi" w:hAnsiTheme="minorHAnsi" w:cstheme="minorHAnsi"/>
        </w:rPr>
        <w:t xml:space="preserve">(Tundra – Sunset) bianco - blu (Tundra – Ocean) e bianco – azzurro (Tundra – Bay) e poi ripetuti secondo i criteri geometrici delle righe alternate e delle rotazioni a 45 e a 90 gradi. </w:t>
      </w: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</w:pPr>
    </w:p>
    <w:p w:rsidR="00D87049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</w:pPr>
      <w:r w:rsidRPr="00243447">
        <w:rPr>
          <w:rFonts w:cstheme="minorHAnsi"/>
          <w:b/>
          <w:bCs/>
          <w:noProof/>
        </w:rPr>
        <w:drawing>
          <wp:inline distT="0" distB="0" distL="0" distR="0" wp14:anchorId="09781C6E" wp14:editId="5FE76F37">
            <wp:extent cx="6120130" cy="3709670"/>
            <wp:effectExtent l="0" t="0" r="0" b="5080"/>
            <wp:docPr id="6" name="Immagine 6" descr="H:\BLOG 2019\STILI E TENDENZE\Piscine private e pubbliche\Piscine pubbliche\Per Laura\Immagini\Stadio del nuoto di Cuneo (Italy)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BLOG 2019\STILI E TENDENZE\Piscine private e pubbliche\Piscine pubbliche\Per Laura\Immagini\Stadio del nuoto di Cuneo (Italy)_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49" w:rsidRPr="009024FA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9024FA">
        <w:rPr>
          <w:rFonts w:asciiTheme="minorHAnsi" w:hAnsiTheme="minorHAnsi" w:cstheme="minorHAnsi"/>
          <w:i/>
          <w:iCs/>
        </w:rPr>
        <w:t>Landscape: Tundra – Dune, Tundra – Sunset, Tundra - Ocean</w:t>
      </w:r>
    </w:p>
    <w:p w:rsidR="00D87049" w:rsidRPr="009024FA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b/>
          <w:bCs/>
          <w:i/>
          <w:iCs/>
        </w:rPr>
      </w:pPr>
    </w:p>
    <w:p w:rsidR="00D87049" w:rsidRDefault="00D87049" w:rsidP="00D87049">
      <w:pPr>
        <w:rPr>
          <w:rFonts w:cstheme="minorHAnsi"/>
          <w:b/>
          <w:bCs/>
          <w:i/>
          <w:iCs/>
          <w:sz w:val="24"/>
          <w:szCs w:val="24"/>
        </w:rPr>
      </w:pPr>
      <w:r w:rsidRPr="00243447">
        <w:rPr>
          <w:rFonts w:cstheme="minorHAnsi"/>
          <w:b/>
          <w:bCs/>
          <w:i/>
          <w:iCs/>
          <w:noProof/>
          <w:sz w:val="24"/>
          <w:szCs w:val="24"/>
          <w:lang w:eastAsia="it-IT"/>
        </w:rPr>
        <w:lastRenderedPageBreak/>
        <w:drawing>
          <wp:inline distT="0" distB="0" distL="0" distR="0" wp14:anchorId="4CA28738" wp14:editId="122A3AF3">
            <wp:extent cx="6120130" cy="3938226"/>
            <wp:effectExtent l="0" t="0" r="0" b="5715"/>
            <wp:docPr id="4" name="Immagine 4" descr="H:\BLOG 2019\STILI E TENDENZE\Piscine private e pubbliche\Piscine pubbliche\Per Laura\Immagini\Stadio del nuoto di Cuneo (Italy)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BLOG 2019\STILI E TENDENZE\Piscine private e pubbliche\Piscine pubbliche\Per Laura\Immagini\Stadio del nuoto di Cuneo (Italy)_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38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49" w:rsidRPr="009024FA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9024FA">
        <w:rPr>
          <w:rFonts w:asciiTheme="minorHAnsi" w:hAnsiTheme="minorHAnsi" w:cstheme="minorHAnsi"/>
          <w:i/>
          <w:iCs/>
        </w:rPr>
        <w:t>Landscape: Tundra – Dune, Tundra – Sunset, Tundra - Ocean</w:t>
      </w:r>
    </w:p>
    <w:p w:rsidR="00D87049" w:rsidRDefault="00D87049" w:rsidP="00D87049">
      <w:pPr>
        <w:rPr>
          <w:rFonts w:cstheme="minorHAnsi"/>
          <w:b/>
          <w:bCs/>
          <w:i/>
          <w:iCs/>
          <w:sz w:val="24"/>
          <w:szCs w:val="24"/>
        </w:rPr>
      </w:pPr>
    </w:p>
    <w:p w:rsidR="00D87049" w:rsidRDefault="00D87049" w:rsidP="00D87049">
      <w:pPr>
        <w:rPr>
          <w:rFonts w:cstheme="minorHAnsi"/>
          <w:b/>
          <w:bCs/>
          <w:i/>
          <w:iCs/>
          <w:sz w:val="24"/>
          <w:szCs w:val="24"/>
        </w:rPr>
      </w:pPr>
    </w:p>
    <w:p w:rsidR="00D87049" w:rsidRDefault="00D87049" w:rsidP="00D87049">
      <w:pPr>
        <w:jc w:val="both"/>
        <w:rPr>
          <w:rFonts w:cstheme="minorHAnsi"/>
          <w:sz w:val="24"/>
          <w:szCs w:val="24"/>
        </w:rPr>
      </w:pPr>
    </w:p>
    <w:p w:rsidR="00D87049" w:rsidRDefault="00D87049" w:rsidP="00D87049">
      <w:pPr>
        <w:jc w:val="both"/>
        <w:rPr>
          <w:rFonts w:cstheme="minorHAnsi"/>
          <w:sz w:val="24"/>
          <w:szCs w:val="24"/>
        </w:rPr>
      </w:pPr>
      <w:r>
        <w:rPr>
          <w:noProof/>
          <w:lang w:eastAsia="it-IT"/>
        </w:rPr>
        <w:lastRenderedPageBreak/>
        <w:drawing>
          <wp:inline distT="0" distB="0" distL="0" distR="0" wp14:anchorId="79243A51" wp14:editId="7DDE1E8C">
            <wp:extent cx="2895600" cy="4344615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998" cy="4396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 xml:space="preserve">    </w:t>
      </w:r>
      <w:r>
        <w:rPr>
          <w:noProof/>
          <w:lang w:eastAsia="it-IT"/>
        </w:rPr>
        <w:drawing>
          <wp:inline distT="0" distB="0" distL="0" distR="0" wp14:anchorId="4D46DB11" wp14:editId="324EFEE8">
            <wp:extent cx="2898599" cy="4349115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493" cy="4392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49" w:rsidRPr="009024FA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9024FA">
        <w:rPr>
          <w:rFonts w:asciiTheme="minorHAnsi" w:hAnsiTheme="minorHAnsi" w:cstheme="minorHAnsi"/>
          <w:i/>
          <w:iCs/>
        </w:rPr>
        <w:t>Landscape: Tundra – Dune, Tundra – Sunset, Tundra - Ocean</w:t>
      </w:r>
    </w:p>
    <w:p w:rsidR="00D87049" w:rsidRDefault="00D87049" w:rsidP="00D87049">
      <w:pPr>
        <w:jc w:val="both"/>
        <w:rPr>
          <w:rFonts w:cstheme="minorHAnsi"/>
          <w:sz w:val="24"/>
          <w:szCs w:val="24"/>
        </w:rPr>
      </w:pPr>
    </w:p>
    <w:p w:rsidR="00D87049" w:rsidRDefault="00D87049" w:rsidP="00D87049">
      <w:pPr>
        <w:jc w:val="both"/>
        <w:rPr>
          <w:rFonts w:cstheme="minorHAnsi"/>
          <w:sz w:val="24"/>
          <w:szCs w:val="24"/>
        </w:rPr>
      </w:pPr>
    </w:p>
    <w:p w:rsidR="00D87049" w:rsidRDefault="00D87049" w:rsidP="00D87049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Le </w:t>
      </w:r>
      <w:r w:rsidRPr="00E16FA8">
        <w:rPr>
          <w:rFonts w:cstheme="minorHAnsi"/>
          <w:b/>
          <w:bCs/>
          <w:sz w:val="24"/>
          <w:szCs w:val="24"/>
        </w:rPr>
        <w:t>piastrelle in gres porcellanato di Casalgrande</w:t>
      </w:r>
      <w:r>
        <w:rPr>
          <w:rFonts w:cstheme="minorHAnsi"/>
          <w:sz w:val="24"/>
          <w:szCs w:val="24"/>
        </w:rPr>
        <w:t xml:space="preserve"> </w:t>
      </w:r>
      <w:r w:rsidRPr="00E16FA8">
        <w:rPr>
          <w:rFonts w:cstheme="minorHAnsi"/>
          <w:b/>
          <w:bCs/>
          <w:sz w:val="24"/>
          <w:szCs w:val="24"/>
        </w:rPr>
        <w:t>Padana</w:t>
      </w:r>
      <w:r>
        <w:rPr>
          <w:rFonts w:cstheme="minorHAnsi"/>
          <w:sz w:val="24"/>
          <w:szCs w:val="24"/>
        </w:rPr>
        <w:t xml:space="preserve"> hanno inoltre permesso la risoluzione di piacevoli temi iconici. Grazie ai prodotti realizzati a disegno con l’icona ‘infradito’ e il decoro alternato bianco/blu, è stato possibile realizzare la segnaletica di passaggio tra le aree piedi calzati e piedi nudi presente sulla sommità del rivestimento verticale e in tutti gli spazi senza soluzione di continuità.</w:t>
      </w:r>
    </w:p>
    <w:p w:rsidR="00D87049" w:rsidRDefault="00D87049" w:rsidP="00D87049">
      <w:pPr>
        <w:rPr>
          <w:rFonts w:cstheme="minorHAnsi"/>
          <w:sz w:val="24"/>
          <w:szCs w:val="24"/>
        </w:rPr>
      </w:pPr>
    </w:p>
    <w:p w:rsidR="00D87049" w:rsidRDefault="00D87049" w:rsidP="00D87049">
      <w:pPr>
        <w:rPr>
          <w:rFonts w:cstheme="minorHAnsi"/>
          <w:b/>
          <w:bCs/>
          <w:sz w:val="24"/>
          <w:szCs w:val="24"/>
        </w:rPr>
      </w:pPr>
      <w:r>
        <w:rPr>
          <w:noProof/>
          <w:lang w:eastAsia="it-IT"/>
        </w:rPr>
        <w:lastRenderedPageBreak/>
        <w:drawing>
          <wp:inline distT="0" distB="0" distL="0" distR="0" wp14:anchorId="1B95DB0E" wp14:editId="5F017A95">
            <wp:extent cx="6120130" cy="408114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49" w:rsidRPr="009024FA" w:rsidRDefault="00D87049" w:rsidP="00D87049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9024FA">
        <w:rPr>
          <w:rFonts w:asciiTheme="minorHAnsi" w:hAnsiTheme="minorHAnsi" w:cstheme="minorHAnsi"/>
          <w:i/>
          <w:iCs/>
        </w:rPr>
        <w:t>Landscape: Tundra – Dune, Tundra – Sunset, Tundra - Ocean</w:t>
      </w:r>
    </w:p>
    <w:p w:rsidR="00D87049" w:rsidRDefault="00D87049" w:rsidP="00D87049">
      <w:pPr>
        <w:rPr>
          <w:rFonts w:cstheme="minorHAnsi"/>
          <w:b/>
          <w:bCs/>
          <w:sz w:val="24"/>
          <w:szCs w:val="24"/>
        </w:rPr>
      </w:pPr>
    </w:p>
    <w:p w:rsidR="00D87049" w:rsidRPr="006F57BC" w:rsidRDefault="00D87049" w:rsidP="00D87049">
      <w:pPr>
        <w:rPr>
          <w:rFonts w:cstheme="minorHAnsi"/>
          <w:b/>
          <w:bCs/>
          <w:sz w:val="24"/>
          <w:szCs w:val="24"/>
        </w:rPr>
      </w:pPr>
    </w:p>
    <w:p w:rsidR="00D87049" w:rsidRDefault="00D87049" w:rsidP="00D87049"/>
    <w:p w:rsidR="00A0583F" w:rsidRDefault="00A0583F"/>
    <w:sectPr w:rsidR="00A0583F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7049" w:rsidRDefault="00D87049" w:rsidP="00D87049">
      <w:pPr>
        <w:spacing w:after="0" w:line="240" w:lineRule="auto"/>
      </w:pPr>
      <w:r>
        <w:separator/>
      </w:r>
    </w:p>
  </w:endnote>
  <w:endnote w:type="continuationSeparator" w:id="0">
    <w:p w:rsidR="00D87049" w:rsidRDefault="00D87049" w:rsidP="00D870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D87049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7482609"/>
      <w:docPartObj>
        <w:docPartGallery w:val="Page Numbers (Bottom of Page)"/>
        <w:docPartUnique/>
      </w:docPartObj>
    </w:sdtPr>
    <w:sdtContent>
      <w:bookmarkStart w:id="0" w:name="_GoBack" w:displacedByCustomXml="prev"/>
      <w:bookmarkEnd w:id="0" w:displacedByCustomXml="prev"/>
      <w:p w:rsidR="00D87049" w:rsidRDefault="00D87049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5</w:t>
        </w:r>
        <w:r>
          <w:fldChar w:fldCharType="end"/>
        </w:r>
      </w:p>
    </w:sdtContent>
  </w:sdt>
  <w:p w:rsidR="006C3ED7" w:rsidRDefault="00D87049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D87049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7049" w:rsidRDefault="00D87049" w:rsidP="00D87049">
      <w:pPr>
        <w:spacing w:after="0" w:line="240" w:lineRule="auto"/>
      </w:pPr>
      <w:r>
        <w:separator/>
      </w:r>
    </w:p>
  </w:footnote>
  <w:footnote w:type="continuationSeparator" w:id="0">
    <w:p w:rsidR="00D87049" w:rsidRDefault="00D87049" w:rsidP="00D870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D87049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D87049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D87049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7049"/>
    <w:rsid w:val="00A0583F"/>
    <w:rsid w:val="00D870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0CCBCA23-80D3-498D-B494-8AD347FA6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D87049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870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87049"/>
  </w:style>
  <w:style w:type="paragraph" w:styleId="Pidipagina">
    <w:name w:val="footer"/>
    <w:basedOn w:val="Normale"/>
    <w:link w:val="PidipaginaCarattere"/>
    <w:uiPriority w:val="99"/>
    <w:unhideWhenUsed/>
    <w:rsid w:val="00D870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87049"/>
  </w:style>
  <w:style w:type="paragraph" w:styleId="NormaleWeb">
    <w:name w:val="Normal (Web)"/>
    <w:basedOn w:val="Normale"/>
    <w:uiPriority w:val="99"/>
    <w:semiHidden/>
    <w:unhideWhenUsed/>
    <w:rsid w:val="00D870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533</Words>
  <Characters>3044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1</cp:revision>
  <dcterms:created xsi:type="dcterms:W3CDTF">2021-01-27T08:26:00Z</dcterms:created>
  <dcterms:modified xsi:type="dcterms:W3CDTF">2021-01-27T08:26:00Z</dcterms:modified>
</cp:coreProperties>
</file>